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1532"/>
        <w:gridCol w:w="2475"/>
        <w:gridCol w:w="1707"/>
        <w:gridCol w:w="726"/>
        <w:gridCol w:w="609"/>
        <w:gridCol w:w="711"/>
      </w:tblGrid>
      <w:tr w:rsidR="000F0257" w14:paraId="3F929C82" w14:textId="03B0101A" w:rsidTr="00D34FAF">
        <w:trPr>
          <w:trHeight w:val="360"/>
        </w:trPr>
        <w:tc>
          <w:tcPr>
            <w:tcW w:w="2830" w:type="dxa"/>
            <w:vAlign w:val="center"/>
          </w:tcPr>
          <w:p w14:paraId="57D73229" w14:textId="45DA56F8" w:rsidR="00E96AE5" w:rsidRPr="00F27F8A" w:rsidRDefault="00E96AE5" w:rsidP="00E96AE5">
            <w:pPr>
              <w:spacing w:after="0"/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 xml:space="preserve">Business </w:t>
            </w:r>
            <w:r w:rsidR="00D34FAF">
              <w:rPr>
                <w:rFonts w:cstheme="minorHAnsi"/>
                <w:b/>
              </w:rPr>
              <w:t>BTEC</w:t>
            </w:r>
          </w:p>
          <w:p w14:paraId="28B4EA70" w14:textId="4DDECC6D" w:rsidR="00E85B48" w:rsidRPr="00F27F8A" w:rsidRDefault="00C77ED4" w:rsidP="00E96AE5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DB12B6" w:rsidRPr="00F27F8A">
              <w:rPr>
                <w:rFonts w:cstheme="minorHAnsi"/>
                <w:b/>
              </w:rPr>
              <w:t>.</w:t>
            </w:r>
            <w:r w:rsidR="009B2E6E">
              <w:rPr>
                <w:rFonts w:cstheme="minorHAnsi"/>
                <w:b/>
              </w:rPr>
              <w:t>2</w:t>
            </w:r>
            <w:r w:rsidR="00DB12B6" w:rsidRPr="00F27F8A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International Business</w:t>
            </w:r>
            <w:r w:rsidR="00DF21BB" w:rsidRPr="00F27F8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760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F27F8A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27F8A">
              <w:rPr>
                <w:rFonts w:cstheme="minorHAnsi"/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D34FAF">
        <w:trPr>
          <w:trHeight w:val="324"/>
        </w:trPr>
        <w:tc>
          <w:tcPr>
            <w:tcW w:w="2830" w:type="dxa"/>
            <w:vMerge w:val="restart"/>
          </w:tcPr>
          <w:p w14:paraId="72887347" w14:textId="63E14E06" w:rsidR="000B079A" w:rsidRPr="009B2E6E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B2E6E">
              <w:rPr>
                <w:rFonts w:cstheme="minorHAnsi"/>
                <w:sz w:val="20"/>
                <w:szCs w:val="20"/>
              </w:rPr>
              <w:t>In this unit you will</w:t>
            </w:r>
            <w:r w:rsidR="009B2E6E" w:rsidRPr="009B2E6E">
              <w:rPr>
                <w:rFonts w:cstheme="minorHAnsi"/>
                <w:sz w:val="20"/>
                <w:szCs w:val="20"/>
              </w:rPr>
              <w:t xml:space="preserve"> in</w:t>
            </w:r>
            <w:r w:rsidR="009B2E6E" w:rsidRPr="009B2E6E">
              <w:rPr>
                <w:sz w:val="20"/>
                <w:szCs w:val="20"/>
              </w:rPr>
              <w:t>vestigate the external</w:t>
            </w:r>
            <w:r w:rsidR="009B2E6E">
              <w:rPr>
                <w:sz w:val="20"/>
                <w:szCs w:val="20"/>
              </w:rPr>
              <w:t xml:space="preserve"> and cultural</w:t>
            </w:r>
            <w:r w:rsidR="009B2E6E" w:rsidRPr="009B2E6E">
              <w:rPr>
                <w:sz w:val="20"/>
                <w:szCs w:val="20"/>
              </w:rPr>
              <w:t xml:space="preserve"> factors that influence international businesses</w:t>
            </w:r>
          </w:p>
          <w:p w14:paraId="4F2EF46A" w14:textId="266CD5A4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LG1</w:t>
            </w:r>
            <w:r w:rsidRPr="00F27F8A">
              <w:rPr>
                <w:rFonts w:cstheme="minorHAnsi"/>
                <w:sz w:val="20"/>
              </w:rPr>
              <w:t>: Knowledge</w:t>
            </w:r>
          </w:p>
          <w:p w14:paraId="384CC0B5" w14:textId="6E7B450D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LG2</w:t>
            </w:r>
            <w:r w:rsidRPr="00F27F8A">
              <w:rPr>
                <w:rFonts w:cstheme="minorHAnsi"/>
                <w:sz w:val="20"/>
              </w:rPr>
              <w:t>: Application</w:t>
            </w:r>
          </w:p>
          <w:p w14:paraId="49C0DC09" w14:textId="32861EEB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LG3</w:t>
            </w:r>
            <w:r w:rsidRPr="00F27F8A">
              <w:rPr>
                <w:rFonts w:cstheme="minorHAnsi"/>
                <w:sz w:val="20"/>
              </w:rPr>
              <w:t>: Skills</w:t>
            </w:r>
          </w:p>
        </w:tc>
        <w:tc>
          <w:tcPr>
            <w:tcW w:w="1532" w:type="dxa"/>
          </w:tcPr>
          <w:p w14:paraId="6578C887" w14:textId="50EEA67F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0684188D" w14:textId="7724BD5A" w:rsidTr="00D34FAF">
        <w:trPr>
          <w:trHeight w:val="330"/>
        </w:trPr>
        <w:tc>
          <w:tcPr>
            <w:tcW w:w="2830" w:type="dxa"/>
            <w:vMerge/>
          </w:tcPr>
          <w:p w14:paraId="1DEC050A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028A163F" w14:textId="6F734B5F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3843AE8E" w14:textId="3DEBBB0E" w:rsidTr="00D34FAF">
        <w:trPr>
          <w:trHeight w:val="285"/>
        </w:trPr>
        <w:tc>
          <w:tcPr>
            <w:tcW w:w="2830" w:type="dxa"/>
            <w:vMerge/>
          </w:tcPr>
          <w:p w14:paraId="76F948BB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546816E8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28275D4C" w14:textId="0ED34976" w:rsidTr="00D34FAF">
        <w:trPr>
          <w:trHeight w:val="255"/>
        </w:trPr>
        <w:tc>
          <w:tcPr>
            <w:tcW w:w="2830" w:type="dxa"/>
            <w:vMerge/>
          </w:tcPr>
          <w:p w14:paraId="613FB33D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63CC1AA7" w14:textId="289AEA03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5EB474FB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5878E7ED" w14:textId="7AF594F8" w:rsidTr="00D34FAF">
        <w:trPr>
          <w:trHeight w:val="270"/>
        </w:trPr>
        <w:tc>
          <w:tcPr>
            <w:tcW w:w="2830" w:type="dxa"/>
            <w:vMerge/>
          </w:tcPr>
          <w:p w14:paraId="098BF877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59C793AB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630AE720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7C997B50" w14:textId="3642D52D" w:rsidTr="00D34FAF">
        <w:trPr>
          <w:trHeight w:val="315"/>
        </w:trPr>
        <w:tc>
          <w:tcPr>
            <w:tcW w:w="2830" w:type="dxa"/>
            <w:vMerge/>
          </w:tcPr>
          <w:p w14:paraId="02EE26FE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055A847E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7136BA01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6AAEE81C" w14:textId="77777777" w:rsidTr="00D34FAF">
        <w:trPr>
          <w:trHeight w:val="62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F27F8A" w:rsidRDefault="001E7AF2" w:rsidP="00E904C9">
            <w:pPr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>Themes</w:t>
            </w:r>
          </w:p>
        </w:tc>
        <w:tc>
          <w:tcPr>
            <w:tcW w:w="5714" w:type="dxa"/>
            <w:gridSpan w:val="3"/>
            <w:shd w:val="clear" w:color="auto" w:fill="D9D9D9" w:themeFill="background1" w:themeFillShade="D9"/>
            <w:vAlign w:val="center"/>
          </w:tcPr>
          <w:p w14:paraId="6C88901A" w14:textId="5E370C51" w:rsidR="00CE49C5" w:rsidRPr="00F27F8A" w:rsidRDefault="00831F97" w:rsidP="00E904C9">
            <w:pPr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>Learning Goals/Outcomes</w:t>
            </w:r>
            <w:r w:rsidR="000A4ADB" w:rsidRPr="00F27F8A">
              <w:rPr>
                <w:rFonts w:cstheme="minorHAnsi"/>
                <w:b/>
              </w:rPr>
              <w:t>/</w:t>
            </w:r>
            <w:r w:rsidR="00584245" w:rsidRPr="00F27F8A">
              <w:rPr>
                <w:rFonts w:cstheme="minorHAnsi"/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76255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kJn79wAAAAHAQAADwAAAGRycy9kb3ducmV2LnhtbEyOQWuDQBCF&#10;74X8h2UCvTWrKRGxriGEtqdQaFIovU3ciUrcWXE3av5911N7Gt68x3tfvp1MKwbqXWNZQbyKQBCX&#10;VjdcKfg6vT2lIJxH1thaJgV3crAtFg85ZtqO/EnD0VcilLDLUEHtfZdJ6cqaDLqV7YiDd7G9QR9k&#10;X0nd4xjKTSvXUZRIgw2HhRo72tdUXo83o+B9xHH3HL8Oh+tlf/85bT6+DzEp9bicdi8gPE3+Lwwz&#10;fkCHIjCd7Y21E62CdQD380lAzHa6CY+zgjROQBa5/M9f/AIAAP//AwBQSwMECgAAAAAAAAAhAEXD&#10;HOizAwAAswMAABQAAABkcnMvbWVkaWEvaW1hZ2UxLnBuZ4lQTkcNChoKAAAADUlIRFIAAABMAAAA&#10;OggDAAABWjV/UwAAAAFzUkdCAK7OHOkAAAAEZ0FNQQAAsY8L/GEFAAAAulBMVEUAAAAAAAAAAAAA&#10;AAAAAAAAAAAAAAAAAAAAAAAAAAAAAAAAAAAAAAAAAAAAAAAAAAAAAAAAAAAAAAAAAAAAAAAAAAAA&#10;AAAAAAAAAAAAAAAAAAAAAAAAAAAAAAAAAAAAAAAAAAAAAAAAAAAAAAAAAAAAAAAAAAAAAAAAAAAA&#10;AAAAAAAAAAAAAAAAAAAAAAAAAAAAAAAAAAAAAAAAAAAAAAAAAAAAAAAAAAAAAAAAAAAAAAAAAAAA&#10;AAAAAACrJGrzAAAAPXRSTlMAAQIDBAUGBw0QER4kJTg6Ozw/REVGTk9QVFlbYHB3e4CFhoiJkJeZ&#10;nbS+wcPN0tTg4uPk5efp6/H4/P3+KVkpbwAAAAlwSFlzAAAh1QAAIdUBBJy0nQAAAjlJREFUSEvN&#10;lglT1UAQhKN4IN6AJwpyiIIiiDew//9vOUfvZia72WzeK6r4qNr09PRMwlHkdUP+BYgu0Jdcg1z5&#10;UJVL0Rd8jBB3JdWPZ4pQlUoPbmdhw5thjw9GSz8k2nvxlsbzbYB6nFKIjKHHoYEnc95Ti9ng8plI&#10;VoIo51C5xcfAk2PSU02n9VbkFMQgTPtQOyGswWiC8quQ41Coe8yrUZehB5BrPUZbjvi6W4tR6LuI&#10;sxAeiShAoRe9TGQWDEcI36JQtBrQ+xpaKmZsDbXEXG1wLhWG23AJqqAyDjSswFuKEH5AVWi8H0em&#10;cwhM5ZpjT/VSjcV2NXYndl+GsC6ixN20o7bsbWpekAJqGIwpAQDLenAMydzWBKG1J9mfNFNONcY2&#10;k1+N9XY1ttMW6+1a7E8Il5AT255A1WL7vUuxe/YhDFvGpRidxdhnY27wDZW/sCJkQREaiZzDJY6p&#10;hHRo0IJGDvrCc3g3GTwqM/3Oq4M1CdgL8dVsEDnvDe6R+fso6B1LoJiPTPfjvpqJDJvpQTkHGc12&#10;LbLslk7a0cxo5IEOfkQpqGWJn1eqnGh2G6WiXga6PVdoOCb/nl5p7idKRT3PFXoTSPYNCib9j4zA&#10;b0HyJyiYJZbl+YWX/SrEF38y/b2hUG7GslJ6uWXQkWtZdhoX6j0mKYZ1mcjCT3SMc4n+RpXAk72T&#10;T4cM/DqXI1GxS3xBoAB9TCJQeB5Kq8Lr+Eph1mC2fQvgCDMjIDWXDxhPvEfjmui6/8cwDB2KDLmw&#10;AAAAAElFTkSuQmCCUEsBAi0AFAAGAAgAAAAhALGCZ7YKAQAAEwIAABMAAAAAAAAAAAAAAAAAAAAA&#10;AFtDb250ZW50X1R5cGVzXS54bWxQSwECLQAUAAYACAAAACEAOP0h/9YAAACUAQAACwAAAAAAAAAA&#10;AAAAAAA7AQAAX3JlbHMvLnJlbHNQSwECLQAUAAYACAAAACEATWs43SADAAC5DAAADgAAAAAAAAAA&#10;AAAAAAA6AgAAZHJzL2Uyb0RvYy54bWxQSwECLQAUAAYACAAAACEAqiYOvrwAAAAhAQAAGQAAAAAA&#10;AAAAAAAAAACGBQAAZHJzL19yZWxzL2Uyb0RvYy54bWwucmVsc1BLAQItABQABgAIAAAAIQCaQmfv&#10;3AAAAAcBAAAPAAAAAAAAAAAAAAAAAHkGAABkcnMvZG93bnJldi54bWxQSwECLQAKAAAAAAAAACEA&#10;RcMc6LMDAACzAwAAFAAAAAAAAAAAAAAAAACCBwAAZHJzL21lZGlhL2ltYWdlMS5wbmdQSwUGAAAA&#10;AAYABgB8AQAAZ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10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10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:rsidRPr="004108D7" w14:paraId="58E06230" w14:textId="360435D8" w:rsidTr="00D34FAF">
        <w:trPr>
          <w:trHeight w:val="210"/>
        </w:trPr>
        <w:tc>
          <w:tcPr>
            <w:tcW w:w="2830" w:type="dxa"/>
          </w:tcPr>
          <w:p w14:paraId="59E8F3DE" w14:textId="50355E8F" w:rsidR="00CE49C5" w:rsidRPr="009B2E6E" w:rsidRDefault="009B2E6E" w:rsidP="009B2E6E">
            <w:pPr>
              <w:spacing w:after="0" w:line="240" w:lineRule="auto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9B2E6E">
              <w:rPr>
                <w:rFonts w:cstheme="minorHAnsi"/>
                <w:b/>
                <w:bCs/>
              </w:rPr>
              <w:t>External Influences</w:t>
            </w:r>
            <w:r w:rsidRPr="009B2E6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714" w:type="dxa"/>
            <w:gridSpan w:val="3"/>
          </w:tcPr>
          <w:p w14:paraId="53131133" w14:textId="7B3C8A1B" w:rsidR="009B2E6E" w:rsidRPr="009B2E6E" w:rsidRDefault="009B2E6E" w:rsidP="009B2E6E">
            <w:pPr>
              <w:pStyle w:val="Tablesub-bullets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2E6E">
              <w:rPr>
                <w:rFonts w:asciiTheme="minorHAnsi" w:hAnsiTheme="minorHAnsi" w:cstheme="minorHAnsi"/>
                <w:sz w:val="22"/>
                <w:szCs w:val="22"/>
              </w:rPr>
              <w:t>LG1: To know the external factors that impact</w:t>
            </w:r>
            <w:r w:rsidRPr="009B2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2E6E">
              <w:rPr>
                <w:rFonts w:asciiTheme="minorHAnsi" w:hAnsiTheme="minorHAnsi" w:cstheme="minorHAnsi"/>
                <w:sz w:val="22"/>
                <w:szCs w:val="22"/>
              </w:rPr>
              <w:t>on a business</w:t>
            </w:r>
          </w:p>
          <w:p w14:paraId="7AC88FAB" w14:textId="36EDE9F7" w:rsidR="009B2E6E" w:rsidRPr="009B2E6E" w:rsidRDefault="009B2E6E" w:rsidP="009B2E6E">
            <w:pPr>
              <w:pStyle w:val="Tablesub-bullets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2E6E">
              <w:rPr>
                <w:rFonts w:asciiTheme="minorHAnsi" w:hAnsiTheme="minorHAnsi" w:cstheme="minorHAnsi"/>
                <w:sz w:val="22"/>
                <w:szCs w:val="22"/>
              </w:rPr>
              <w:t>LG2: To be able to apply external factors to selected businesses and industries</w:t>
            </w:r>
          </w:p>
          <w:p w14:paraId="7E385FB8" w14:textId="77777777" w:rsidR="009B2E6E" w:rsidRPr="009B2E6E" w:rsidRDefault="009B2E6E" w:rsidP="009B2E6E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B2E6E">
              <w:rPr>
                <w:rFonts w:asciiTheme="minorHAnsi" w:hAnsiTheme="minorHAnsi" w:cstheme="minorHAnsi"/>
                <w:sz w:val="22"/>
                <w:szCs w:val="22"/>
              </w:rPr>
              <w:t>LG1: To know the format of a PESTLE analysis</w:t>
            </w:r>
          </w:p>
          <w:p w14:paraId="53BD0D94" w14:textId="77777777" w:rsidR="009B2E6E" w:rsidRPr="009B2E6E" w:rsidRDefault="009B2E6E" w:rsidP="009B2E6E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B2E6E">
              <w:rPr>
                <w:rFonts w:asciiTheme="minorHAnsi" w:hAnsiTheme="minorHAnsi" w:cstheme="minorHAnsi"/>
                <w:sz w:val="22"/>
                <w:szCs w:val="22"/>
              </w:rPr>
              <w:t>LG2: To apply knowledge of PESTLE to a given business</w:t>
            </w:r>
          </w:p>
          <w:p w14:paraId="6211553F" w14:textId="1B547C8C" w:rsidR="00E96AE5" w:rsidRPr="009B2E6E" w:rsidRDefault="009B2E6E" w:rsidP="009B2E6E">
            <w:pPr>
              <w:pStyle w:val="Tablesub-bullets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2E6E">
              <w:rPr>
                <w:rFonts w:asciiTheme="minorHAnsi" w:hAnsiTheme="minorHAnsi" w:cstheme="minorHAnsi"/>
                <w:sz w:val="22"/>
                <w:szCs w:val="22"/>
              </w:rPr>
              <w:t>LG3: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2E6E">
              <w:rPr>
                <w:rFonts w:asciiTheme="minorHAnsi" w:hAnsiTheme="minorHAnsi" w:cstheme="minorHAnsi"/>
                <w:sz w:val="22"/>
                <w:szCs w:val="22"/>
              </w:rPr>
              <w:t>To Assess the impact of external</w:t>
            </w:r>
            <w:r w:rsidRPr="009B2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2E6E">
              <w:rPr>
                <w:rFonts w:asciiTheme="minorHAnsi" w:hAnsiTheme="minorHAnsi" w:cstheme="minorHAnsi"/>
                <w:sz w:val="22"/>
                <w:szCs w:val="22"/>
              </w:rPr>
              <w:t>factors</w:t>
            </w:r>
          </w:p>
        </w:tc>
        <w:tc>
          <w:tcPr>
            <w:tcW w:w="726" w:type="dxa"/>
          </w:tcPr>
          <w:p w14:paraId="000DA362" w14:textId="3DC6C58D" w:rsidR="00E50992" w:rsidRPr="004108D7" w:rsidRDefault="00E50992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4108D7" w:rsidRDefault="00E50992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4108D7" w:rsidRDefault="00E50992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0C01" w:rsidRPr="004108D7" w14:paraId="3C394219" w14:textId="77777777" w:rsidTr="00D34FAF">
        <w:trPr>
          <w:trHeight w:val="210"/>
        </w:trPr>
        <w:tc>
          <w:tcPr>
            <w:tcW w:w="2830" w:type="dxa"/>
          </w:tcPr>
          <w:p w14:paraId="5FE0546C" w14:textId="77777777" w:rsidR="009B2E6E" w:rsidRPr="009B2E6E" w:rsidRDefault="009B2E6E" w:rsidP="009B2E6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B2E6E">
              <w:rPr>
                <w:rFonts w:cstheme="minorHAnsi"/>
                <w:b/>
                <w:bCs/>
              </w:rPr>
              <w:t>International business support systems</w:t>
            </w:r>
          </w:p>
          <w:p w14:paraId="43191A86" w14:textId="12ABB235" w:rsidR="00900C01" w:rsidRPr="009B2E6E" w:rsidRDefault="00900C01" w:rsidP="009B2E6E">
            <w:pPr>
              <w:pStyle w:val="Topic"/>
              <w:spacing w:before="0" w:after="0" w:line="240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14" w:type="dxa"/>
            <w:gridSpan w:val="3"/>
          </w:tcPr>
          <w:p w14:paraId="3C2148AA" w14:textId="7C6A6F3A" w:rsidR="009B2E6E" w:rsidRPr="009B2E6E" w:rsidRDefault="009B2E6E" w:rsidP="009B2E6E">
            <w:pPr>
              <w:spacing w:after="0" w:line="240" w:lineRule="auto"/>
              <w:rPr>
                <w:rFonts w:cstheme="minorHAnsi"/>
              </w:rPr>
            </w:pPr>
            <w:r w:rsidRPr="009B2E6E">
              <w:rPr>
                <w:rFonts w:cstheme="minorHAnsi"/>
              </w:rPr>
              <w:t>LG1: To know the support systems that enable a business to trade internationally</w:t>
            </w:r>
          </w:p>
          <w:p w14:paraId="63ED821D" w14:textId="77777777" w:rsidR="009B2E6E" w:rsidRPr="009B2E6E" w:rsidRDefault="009B2E6E" w:rsidP="009B2E6E">
            <w:pPr>
              <w:spacing w:after="0" w:line="240" w:lineRule="auto"/>
              <w:rPr>
                <w:rFonts w:cstheme="minorHAnsi"/>
              </w:rPr>
            </w:pPr>
            <w:r w:rsidRPr="009B2E6E">
              <w:rPr>
                <w:rFonts w:cstheme="minorHAnsi"/>
              </w:rPr>
              <w:t>LG2: To be able to apply support systems to given businesses</w:t>
            </w:r>
          </w:p>
          <w:p w14:paraId="351B6A7C" w14:textId="133AD098" w:rsidR="00900C01" w:rsidRPr="009B2E6E" w:rsidRDefault="009B2E6E" w:rsidP="009B2E6E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B2E6E">
              <w:rPr>
                <w:rFonts w:asciiTheme="minorHAnsi" w:hAnsiTheme="minorHAnsi" w:cstheme="minorHAnsi"/>
                <w:sz w:val="22"/>
                <w:szCs w:val="22"/>
              </w:rPr>
              <w:t>LG3: To assess the impact of support sy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B2E6E">
              <w:rPr>
                <w:rFonts w:asciiTheme="minorHAnsi" w:hAnsiTheme="minorHAnsi" w:cstheme="minorHAnsi"/>
                <w:sz w:val="22"/>
                <w:szCs w:val="22"/>
              </w:rPr>
              <w:t>tems on a given business</w:t>
            </w:r>
          </w:p>
        </w:tc>
        <w:tc>
          <w:tcPr>
            <w:tcW w:w="726" w:type="dxa"/>
          </w:tcPr>
          <w:p w14:paraId="77D0EEC9" w14:textId="77777777" w:rsidR="00900C01" w:rsidRPr="004108D7" w:rsidRDefault="00900C01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256589C3" w14:textId="77777777" w:rsidR="00900C01" w:rsidRPr="004108D7" w:rsidRDefault="00900C01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4362B151" w14:textId="77777777" w:rsidR="00900C01" w:rsidRPr="004108D7" w:rsidRDefault="00900C01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E416C" w:rsidRPr="004108D7" w14:paraId="6905CFC4" w14:textId="77777777" w:rsidTr="00D34FAF">
        <w:trPr>
          <w:trHeight w:val="225"/>
        </w:trPr>
        <w:tc>
          <w:tcPr>
            <w:tcW w:w="2830" w:type="dxa"/>
          </w:tcPr>
          <w:p w14:paraId="498DDBB4" w14:textId="01F0200D" w:rsidR="008E416C" w:rsidRPr="009B2E6E" w:rsidRDefault="009B2E6E" w:rsidP="009B2E6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B2E6E">
              <w:rPr>
                <w:rFonts w:cstheme="minorHAnsi"/>
                <w:b/>
                <w:bCs/>
              </w:rPr>
              <w:t>Situational Analysis</w:t>
            </w:r>
          </w:p>
        </w:tc>
        <w:tc>
          <w:tcPr>
            <w:tcW w:w="5714" w:type="dxa"/>
            <w:gridSpan w:val="3"/>
          </w:tcPr>
          <w:p w14:paraId="4261D60E" w14:textId="2A9E6E2D" w:rsidR="009B2E6E" w:rsidRPr="009B2E6E" w:rsidRDefault="009B2E6E" w:rsidP="009B2E6E">
            <w:pPr>
              <w:spacing w:after="0" w:line="240" w:lineRule="auto"/>
              <w:rPr>
                <w:rFonts w:cstheme="minorHAnsi"/>
              </w:rPr>
            </w:pPr>
            <w:r w:rsidRPr="009B2E6E">
              <w:rPr>
                <w:rFonts w:cstheme="minorHAnsi"/>
              </w:rPr>
              <w:t>LG1: To know the different formats/models of Situational Analysis</w:t>
            </w:r>
          </w:p>
          <w:p w14:paraId="3E5DAC0E" w14:textId="1AF58D11" w:rsidR="009B2E6E" w:rsidRPr="009B2E6E" w:rsidRDefault="009B2E6E" w:rsidP="009B2E6E">
            <w:pPr>
              <w:spacing w:after="0" w:line="240" w:lineRule="auto"/>
              <w:rPr>
                <w:rFonts w:cstheme="minorHAnsi"/>
              </w:rPr>
            </w:pPr>
            <w:r w:rsidRPr="009B2E6E">
              <w:rPr>
                <w:rFonts w:cstheme="minorHAnsi"/>
              </w:rPr>
              <w:t>LG2: To conduct situational analysis</w:t>
            </w:r>
            <w:r w:rsidRPr="009B2E6E">
              <w:rPr>
                <w:rFonts w:cstheme="minorHAnsi"/>
              </w:rPr>
              <w:t xml:space="preserve"> </w:t>
            </w:r>
            <w:r w:rsidRPr="009B2E6E">
              <w:rPr>
                <w:rFonts w:cstheme="minorHAnsi"/>
              </w:rPr>
              <w:t>for selected business in selected international markets</w:t>
            </w:r>
          </w:p>
          <w:p w14:paraId="41477595" w14:textId="51E9BA4F" w:rsidR="00E96AE5" w:rsidRPr="009B2E6E" w:rsidRDefault="00E96AE5" w:rsidP="009B2E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6" w:type="dxa"/>
          </w:tcPr>
          <w:p w14:paraId="6232629A" w14:textId="0FC0279D" w:rsidR="008E416C" w:rsidRPr="004108D7" w:rsidRDefault="008E416C" w:rsidP="00B24E5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8E416C" w:rsidRPr="004108D7" w:rsidRDefault="008E416C" w:rsidP="00B24E5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8E416C" w:rsidRPr="004108D7" w:rsidRDefault="008E416C" w:rsidP="00B24E5E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D491A" w:rsidRPr="004108D7" w14:paraId="0FBDD03C" w14:textId="77777777" w:rsidTr="00D34FAF">
        <w:trPr>
          <w:trHeight w:val="225"/>
        </w:trPr>
        <w:tc>
          <w:tcPr>
            <w:tcW w:w="2830" w:type="dxa"/>
          </w:tcPr>
          <w:p w14:paraId="63F525B8" w14:textId="69961559" w:rsidR="00E96AE5" w:rsidRPr="009B2E6E" w:rsidRDefault="009B2E6E" w:rsidP="009B2E6E">
            <w:pPr>
              <w:pStyle w:val="Tabletextbullets"/>
              <w:numPr>
                <w:ilvl w:val="0"/>
                <w:numId w:val="0"/>
              </w:numPr>
              <w:spacing w:line="240" w:lineRule="auto"/>
              <w:ind w:left="397" w:hanging="39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Recommend one country</w:t>
            </w:r>
            <w:r w:rsidRPr="009B2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14" w:type="dxa"/>
            <w:gridSpan w:val="3"/>
          </w:tcPr>
          <w:p w14:paraId="63B039A4" w14:textId="77777777" w:rsidR="009B2E6E" w:rsidRPr="009B2E6E" w:rsidRDefault="009B2E6E" w:rsidP="009B2E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B2E6E">
              <w:rPr>
                <w:rFonts w:cstheme="minorHAnsi"/>
              </w:rPr>
              <w:t>LG3: To use situational analysis to assess the suitability of international markets for selected businesses</w:t>
            </w:r>
          </w:p>
          <w:p w14:paraId="4EB4E1E1" w14:textId="390A857F" w:rsidR="008D491A" w:rsidRPr="009B2E6E" w:rsidRDefault="008D491A" w:rsidP="009B2E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6" w:type="dxa"/>
          </w:tcPr>
          <w:p w14:paraId="0C4A4D02" w14:textId="77777777" w:rsidR="008D491A" w:rsidRPr="004108D7" w:rsidRDefault="008D491A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8D491A" w:rsidRPr="004108D7" w:rsidRDefault="008D491A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8D491A" w:rsidRPr="004108D7" w:rsidRDefault="008D491A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5004" w:rsidRPr="004108D7" w14:paraId="062B3143" w14:textId="77777777" w:rsidTr="00D34FAF">
        <w:trPr>
          <w:trHeight w:val="225"/>
        </w:trPr>
        <w:tc>
          <w:tcPr>
            <w:tcW w:w="2830" w:type="dxa"/>
          </w:tcPr>
          <w:p w14:paraId="22AF1D2A" w14:textId="52076CAE" w:rsidR="008B5004" w:rsidRPr="009B2E6E" w:rsidRDefault="009B2E6E" w:rsidP="009B2E6E">
            <w:pPr>
              <w:pStyle w:val="text"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Cultural Factors</w:t>
            </w:r>
          </w:p>
        </w:tc>
        <w:tc>
          <w:tcPr>
            <w:tcW w:w="5714" w:type="dxa"/>
            <w:gridSpan w:val="3"/>
          </w:tcPr>
          <w:p w14:paraId="32FE8BC8" w14:textId="1720B604" w:rsidR="008B5004" w:rsidRPr="009B2E6E" w:rsidRDefault="009B2E6E" w:rsidP="009B2E6E">
            <w:pPr>
              <w:spacing w:after="0" w:line="240" w:lineRule="auto"/>
              <w:rPr>
                <w:rFonts w:cstheme="minorHAnsi"/>
              </w:rPr>
            </w:pPr>
            <w:r w:rsidRPr="009B2E6E">
              <w:rPr>
                <w:rFonts w:cstheme="minorHAnsi"/>
              </w:rPr>
              <w:t>LG1: To know the cultural factors that affect international business</w:t>
            </w:r>
          </w:p>
        </w:tc>
        <w:tc>
          <w:tcPr>
            <w:tcW w:w="726" w:type="dxa"/>
          </w:tcPr>
          <w:p w14:paraId="6A4541FC" w14:textId="77777777" w:rsidR="008B5004" w:rsidRPr="004108D7" w:rsidRDefault="008B5004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8B5004" w:rsidRPr="004108D7" w:rsidRDefault="008B5004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8B5004" w:rsidRPr="004108D7" w:rsidRDefault="008B5004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96AE5" w:rsidRPr="004108D7" w14:paraId="7ADA448D" w14:textId="77777777" w:rsidTr="00D34FAF">
        <w:trPr>
          <w:trHeight w:val="225"/>
        </w:trPr>
        <w:tc>
          <w:tcPr>
            <w:tcW w:w="2830" w:type="dxa"/>
          </w:tcPr>
          <w:p w14:paraId="187EB197" w14:textId="3E126385" w:rsidR="00E96AE5" w:rsidRPr="009B2E6E" w:rsidRDefault="009B2E6E" w:rsidP="009B2E6E">
            <w:pPr>
              <w:pStyle w:val="Tabletextbullets"/>
              <w:numPr>
                <w:ilvl w:val="0"/>
                <w:numId w:val="0"/>
              </w:numPr>
              <w:spacing w:line="240" w:lineRule="auto"/>
              <w:ind w:left="397" w:hanging="39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Impact of cultural factors</w:t>
            </w:r>
            <w:r w:rsidRPr="009B2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14" w:type="dxa"/>
            <w:gridSpan w:val="3"/>
          </w:tcPr>
          <w:p w14:paraId="4F6FA680" w14:textId="6CC8893E" w:rsidR="00E96AE5" w:rsidRPr="009B2E6E" w:rsidRDefault="009B2E6E" w:rsidP="009B2E6E">
            <w:pPr>
              <w:spacing w:after="0" w:line="240" w:lineRule="auto"/>
              <w:rPr>
                <w:rFonts w:cstheme="minorHAnsi"/>
              </w:rPr>
            </w:pPr>
            <w:r w:rsidRPr="009B2E6E">
              <w:rPr>
                <w:rFonts w:cstheme="minorHAnsi"/>
              </w:rPr>
              <w:t>LG3: To analyse how cultural differences affect international businesses</w:t>
            </w:r>
          </w:p>
        </w:tc>
        <w:tc>
          <w:tcPr>
            <w:tcW w:w="726" w:type="dxa"/>
          </w:tcPr>
          <w:p w14:paraId="095362A2" w14:textId="77777777" w:rsidR="00E96AE5" w:rsidRPr="004108D7" w:rsidRDefault="00E96AE5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E96AE5" w:rsidRPr="004108D7" w:rsidRDefault="00E96AE5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E96AE5" w:rsidRPr="004108D7" w:rsidRDefault="00E96AE5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27F8A" w:rsidRPr="004108D7" w14:paraId="58FFC5AC" w14:textId="77777777" w:rsidTr="00D34FAF">
        <w:trPr>
          <w:trHeight w:val="225"/>
        </w:trPr>
        <w:tc>
          <w:tcPr>
            <w:tcW w:w="2830" w:type="dxa"/>
          </w:tcPr>
          <w:p w14:paraId="29FD3B4E" w14:textId="77777777" w:rsidR="009B2E6E" w:rsidRPr="009B2E6E" w:rsidRDefault="009B2E6E" w:rsidP="009B2E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9B2E6E">
              <w:rPr>
                <w:rFonts w:cstheme="minorHAnsi"/>
                <w:b/>
                <w:bCs/>
              </w:rPr>
              <w:t>Evaluate the impact of</w:t>
            </w:r>
          </w:p>
          <w:p w14:paraId="72D8E265" w14:textId="77777777" w:rsidR="009B2E6E" w:rsidRPr="009B2E6E" w:rsidRDefault="009B2E6E" w:rsidP="009B2E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9B2E6E">
              <w:rPr>
                <w:rFonts w:cstheme="minorHAnsi"/>
                <w:b/>
                <w:bCs/>
              </w:rPr>
              <w:t>cultural differences.</w:t>
            </w:r>
          </w:p>
          <w:p w14:paraId="5774B4D6" w14:textId="7F8199FB" w:rsidR="00F27F8A" w:rsidRPr="009B2E6E" w:rsidRDefault="00F27F8A" w:rsidP="009B2E6E">
            <w:pPr>
              <w:pStyle w:val="text"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gridSpan w:val="3"/>
          </w:tcPr>
          <w:p w14:paraId="5DF6DC83" w14:textId="77777777" w:rsidR="009B2E6E" w:rsidRPr="009B2E6E" w:rsidRDefault="009B2E6E" w:rsidP="009B2E6E">
            <w:pPr>
              <w:spacing w:after="0" w:line="240" w:lineRule="auto"/>
              <w:rPr>
                <w:rFonts w:cstheme="minorHAnsi"/>
              </w:rPr>
            </w:pPr>
            <w:r w:rsidRPr="009B2E6E">
              <w:rPr>
                <w:rFonts w:cstheme="minorHAnsi"/>
              </w:rPr>
              <w:t>LG3: To evaluate the impact of cultural differences on selected businesses</w:t>
            </w:r>
          </w:p>
          <w:p w14:paraId="334A65FC" w14:textId="2892C395" w:rsidR="004108D7" w:rsidRPr="009B2E6E" w:rsidRDefault="004108D7" w:rsidP="009B2E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6" w:type="dxa"/>
          </w:tcPr>
          <w:p w14:paraId="48375222" w14:textId="77777777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0D56B72C" w14:textId="69BEC5EE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2BDDE23" w14:textId="77777777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27F8A" w:rsidRPr="004108D7" w14:paraId="4B19D765" w14:textId="77777777" w:rsidTr="00D34FAF">
        <w:trPr>
          <w:trHeight w:val="225"/>
        </w:trPr>
        <w:tc>
          <w:tcPr>
            <w:tcW w:w="2830" w:type="dxa"/>
          </w:tcPr>
          <w:p w14:paraId="53503B68" w14:textId="7450AE49" w:rsidR="00F27F8A" w:rsidRPr="009B2E6E" w:rsidRDefault="004108D7" w:rsidP="009B2E6E">
            <w:pPr>
              <w:pStyle w:val="text"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Assignment 5.</w:t>
            </w:r>
            <w:r w:rsidR="009B2E6E" w:rsidRPr="009B2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4" w:type="dxa"/>
            <w:gridSpan w:val="3"/>
          </w:tcPr>
          <w:p w14:paraId="25999F2F" w14:textId="77777777" w:rsidR="00F27F8A" w:rsidRDefault="009B2E6E" w:rsidP="009B2E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B2E6E">
              <w:rPr>
                <w:rFonts w:cstheme="minorHAnsi"/>
              </w:rPr>
              <w:t>All criteria</w:t>
            </w:r>
          </w:p>
          <w:p w14:paraId="4803EAFC" w14:textId="111D2177" w:rsidR="00345B33" w:rsidRPr="009B2E6E" w:rsidRDefault="00345B33" w:rsidP="009B2E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6" w:type="dxa"/>
          </w:tcPr>
          <w:p w14:paraId="595A9618" w14:textId="77777777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033CFAAD" w14:textId="177D9193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5697E29" w14:textId="77777777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0205C42" w14:textId="19C56CF0" w:rsidR="004108D7" w:rsidRDefault="004108D7">
      <w:pPr>
        <w:rPr>
          <w:rFonts w:cstheme="minorHAnsi"/>
          <w:bCs/>
          <w:sz w:val="20"/>
          <w:szCs w:val="20"/>
        </w:rPr>
      </w:pPr>
    </w:p>
    <w:p w14:paraId="57D8FA2B" w14:textId="45F0E670" w:rsidR="004108D7" w:rsidRDefault="009B2E6E">
      <w:pPr>
        <w:rPr>
          <w:rFonts w:cstheme="minorHAnsi"/>
          <w:bCs/>
          <w:sz w:val="20"/>
          <w:szCs w:val="20"/>
        </w:rPr>
      </w:pPr>
      <w:r w:rsidRPr="004108D7">
        <w:rPr>
          <w:rFonts w:cstheme="minorHAnsi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45C539D1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6734175" cy="19907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F27F8A" w:rsidRDefault="007D0FDE" w:rsidP="00E96AE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62DD2102" w14:textId="2AE67C20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Prior Knowledge: 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This 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>is taught alongside Unit 1 some basic knowledge on ownership and size/scale will support learning in this unit.</w:t>
                            </w:r>
                            <w:r w:rsidR="009B2E6E">
                              <w:rPr>
                                <w:rFonts w:cstheme="minorHAnsi"/>
                                <w:sz w:val="20"/>
                              </w:rPr>
                              <w:t xml:space="preserve"> 1.2 also has a business environment focus.</w:t>
                            </w:r>
                            <w:r w:rsidR="00345B33">
                              <w:rPr>
                                <w:rFonts w:cstheme="minorHAnsi"/>
                                <w:sz w:val="20"/>
                              </w:rPr>
                              <w:t xml:space="preserve"> Finance options covered in 5.1</w:t>
                            </w:r>
                          </w:p>
                          <w:p w14:paraId="58483D57" w14:textId="77777777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>Future knowledge:</w:t>
                            </w:r>
                          </w:p>
                          <w:p w14:paraId="666616DC" w14:textId="4F4809E4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11491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>LG1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: Knowledge of </w:t>
                            </w:r>
                            <w:r w:rsidR="00345B33">
                              <w:rPr>
                                <w:rFonts w:cstheme="minorHAnsi"/>
                                <w:sz w:val="20"/>
                              </w:rPr>
                              <w:t>the impact of the business environment is important for the external exams -Unit 2 and Unit 6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  <w:r w:rsidR="00474CD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14:paraId="7587D11B" w14:textId="496AE219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11491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>LG2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: Throughout the course you will need to apply knowledge to </w:t>
                            </w:r>
                            <w:r w:rsidR="00474CD3">
                              <w:rPr>
                                <w:rFonts w:cstheme="minorHAnsi"/>
                                <w:sz w:val="20"/>
                              </w:rPr>
                              <w:t>your businesses selected in the assignment units and apply knowledge to given businesses in the exam units.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 xml:space="preserve"> This unit requires extensive application which will be developed further in later units.</w:t>
                            </w:r>
                          </w:p>
                          <w:p w14:paraId="34806E5B" w14:textId="591EA839" w:rsidR="00E96AE5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11491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>LG3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: Development of analysis and evaluation is vital for making business judgements throughout the course and 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>this skill is developed in this unit.</w:t>
                            </w:r>
                          </w:p>
                          <w:p w14:paraId="08286F19" w14:textId="37B76151" w:rsidR="00011491" w:rsidRPr="00F27F8A" w:rsidRDefault="00011491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345B33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>LG3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: Independent research skills are also developed</w:t>
                            </w:r>
                            <w:r w:rsidR="00345B33">
                              <w:rPr>
                                <w:rFonts w:cstheme="minorHAnsi"/>
                                <w:sz w:val="20"/>
                              </w:rPr>
                              <w:t xml:space="preserve"> and are essential to achieving Distinction grades.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0.3pt;width:530.25pt;height:156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j8TQIAAKMEAAAOAAAAZHJzL2Uyb0RvYy54bWysVE2P2jAQvVfqf7B8L0koH0tEWFFWVJXQ&#10;7kpQ7dk4DonqeFzbkNBf37ETWHbbU9WLGc+8PM+8mWF+39aSnISxFaiMJoOYEqE45JU6ZPT7bv3p&#10;jhLrmMqZBCUyehaW3i8+fpg3OhVDKEHmwhAkUTZtdEZL53QaRZaXomZ2AFooDBZgaubwag5RbliD&#10;7LWMhnE8iRowuTbAhbXofeiCdBH4i0Jw91QUVjgiM4q5uXCacO79GS3mLD0YpsuK92mwf8iiZpXC&#10;R69UD8wxcjTVH1R1xQ1YKNyAQx1BUVRchBqwmiR+V822ZFqEWlAcq68y2f9Hyx9Pz4ZUeUYnlChW&#10;Y4t2onXkC7Rk4tVptE0RtNUIcy26scsXv0WnL7otTO1/sRyCcdT5fNXWk3F0TqafR8l0TAnHWDKb&#10;xdPh2PNEr59rY91XATXxRkYNNi9oyk4b6zroBeJfsyCrfF1JGS5+YMRKGnJi2GrpQpJI/gYlFWn8&#10;6/E4Dsxvgp77SrCXjP/o87tBIaFUmLRXpaveW67dt71Ue8jPqJSBbtKs5usKeTfMumdmcLRQHFwX&#10;94RHIQGzgd6ipATz629+j8eOY5SSBkc1o/bnkRlBifymcBZmyWjkZztcRuPpEC/mNrK/jahjvQKU&#10;KMHF1DyYHu/kxSwM1C+4VUv/KoaY4vh2Rt3FXLlugXAruVguAwinWTO3UVvNPbVviddz174wo/uG&#10;OpyFR7gMNUvf9bXD+i8VLI8Oiio03QvcqdrrjpsQxqbfWr9qt/eAev1vWfwGAAD//wMAUEsDBBQA&#10;BgAIAAAAIQDBbOY73QAAAAgBAAAPAAAAZHJzL2Rvd25yZXYueG1sTI/NTsMwEITvSLyDtUjcqB3y&#10;IwhxKkBwKDdKJa5uvCQR9jqy3Tbt0+Oe6HE0o5lvmuVsDdujD6MjCdlCAEPqnB6pl7D5er97ABai&#10;Iq2MI5RwxADL9vqqUbV2B/rE/Tr2LJVQqJWEIcap5jx0A1oVFm5CSt6P81bFJH3PtVeHVG4Nvxei&#10;4laNlBYGNeHrgN3vemclvL18POar42ranPpTYWKeffsyk/L2Zn5+AhZxjv9hOOMndGgT09btSAdm&#10;JKQjUUIhKmBnV1SiBLaVkJdFBrxt+OWB9g8AAP//AwBQSwECLQAUAAYACAAAACEAtoM4kv4AAADh&#10;AQAAEwAAAAAAAAAAAAAAAAAAAAAAW0NvbnRlbnRfVHlwZXNdLnhtbFBLAQItABQABgAIAAAAIQA4&#10;/SH/1gAAAJQBAAALAAAAAAAAAAAAAAAAAC8BAABfcmVscy8ucmVsc1BLAQItABQABgAIAAAAIQAO&#10;Msj8TQIAAKMEAAAOAAAAAAAAAAAAAAAAAC4CAABkcnMvZTJvRG9jLnhtbFBLAQItABQABgAIAAAA&#10;IQDBbOY73QAAAAgBAAAPAAAAAAAAAAAAAAAAAKcEAABkcnMvZG93bnJldi54bWxQSwUGAAAAAAQA&#10;BADzAAAAsQUAAAAA&#10;" fillcolor="white [3201]" strokeweight="1.5pt">
                <v:textbox>
                  <w:txbxContent>
                    <w:p w14:paraId="092FFFBE" w14:textId="53C2010D" w:rsidR="00471B37" w:rsidRPr="00F27F8A" w:rsidRDefault="007D0FDE" w:rsidP="00E96AE5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Links: </w:t>
                      </w:r>
                    </w:p>
                    <w:p w14:paraId="62DD2102" w14:textId="2AE67C20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Prior Knowledge: 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This 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>is taught alongside Unit 1 some basic knowledge on ownership and size/scale will support learning in this unit.</w:t>
                      </w:r>
                      <w:r w:rsidR="009B2E6E">
                        <w:rPr>
                          <w:rFonts w:cstheme="minorHAnsi"/>
                          <w:sz w:val="20"/>
                        </w:rPr>
                        <w:t xml:space="preserve"> 1.2 also has a business environment focus.</w:t>
                      </w:r>
                      <w:r w:rsidR="00345B33">
                        <w:rPr>
                          <w:rFonts w:cstheme="minorHAnsi"/>
                          <w:sz w:val="20"/>
                        </w:rPr>
                        <w:t xml:space="preserve"> Finance options covered in 5.1</w:t>
                      </w:r>
                    </w:p>
                    <w:p w14:paraId="58483D57" w14:textId="77777777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>Future knowledge:</w:t>
                      </w:r>
                    </w:p>
                    <w:p w14:paraId="666616DC" w14:textId="4F4809E4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011491">
                        <w:rPr>
                          <w:rFonts w:cstheme="minorHAnsi"/>
                          <w:b/>
                          <w:bCs/>
                          <w:sz w:val="20"/>
                        </w:rPr>
                        <w:t>LG1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: Knowledge of </w:t>
                      </w:r>
                      <w:r w:rsidR="00345B33">
                        <w:rPr>
                          <w:rFonts w:cstheme="minorHAnsi"/>
                          <w:sz w:val="20"/>
                        </w:rPr>
                        <w:t>the impact of the business environment is important for the external exams -Unit 2 and Unit 6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>.</w:t>
                      </w:r>
                      <w:r w:rsidR="00474CD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  <w:p w14:paraId="7587D11B" w14:textId="496AE219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011491">
                        <w:rPr>
                          <w:rFonts w:cstheme="minorHAnsi"/>
                          <w:b/>
                          <w:bCs/>
                          <w:sz w:val="20"/>
                        </w:rPr>
                        <w:t>LG2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: Throughout the course you will need to apply knowledge to </w:t>
                      </w:r>
                      <w:r w:rsidR="00474CD3">
                        <w:rPr>
                          <w:rFonts w:cstheme="minorHAnsi"/>
                          <w:sz w:val="20"/>
                        </w:rPr>
                        <w:t>your businesses selected in the assignment units and apply knowledge to given businesses in the exam units.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 xml:space="preserve"> This unit requires extensive application which will be developed further in later units.</w:t>
                      </w:r>
                    </w:p>
                    <w:p w14:paraId="34806E5B" w14:textId="591EA839" w:rsidR="00E96AE5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011491">
                        <w:rPr>
                          <w:rFonts w:cstheme="minorHAnsi"/>
                          <w:b/>
                          <w:bCs/>
                          <w:sz w:val="20"/>
                        </w:rPr>
                        <w:t>LG3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: Development of analysis and evaluation is vital for making business judgements throughout the course and 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>this skill is developed in this unit.</w:t>
                      </w:r>
                    </w:p>
                    <w:p w14:paraId="08286F19" w14:textId="37B76151" w:rsidR="00011491" w:rsidRPr="00F27F8A" w:rsidRDefault="00011491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345B33">
                        <w:rPr>
                          <w:rFonts w:cstheme="minorHAnsi"/>
                          <w:b/>
                          <w:bCs/>
                          <w:sz w:val="20"/>
                        </w:rPr>
                        <w:t>LG3</w:t>
                      </w:r>
                      <w:r>
                        <w:rPr>
                          <w:rFonts w:cstheme="minorHAnsi"/>
                          <w:sz w:val="20"/>
                        </w:rPr>
                        <w:t>: Independent research skills are also developed</w:t>
                      </w:r>
                      <w:r w:rsidR="00345B33">
                        <w:rPr>
                          <w:rFonts w:cstheme="minorHAnsi"/>
                          <w:sz w:val="20"/>
                        </w:rPr>
                        <w:t xml:space="preserve"> and are essential to achieving Distinction grades.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0CD7B" w14:textId="4BCECF8A" w:rsidR="004108D7" w:rsidRDefault="004108D7">
      <w:pPr>
        <w:rPr>
          <w:rFonts w:cstheme="minorHAnsi"/>
          <w:bCs/>
          <w:sz w:val="20"/>
          <w:szCs w:val="20"/>
        </w:rPr>
      </w:pPr>
    </w:p>
    <w:p w14:paraId="3B2DFAE8" w14:textId="62DB4AF5" w:rsidR="004108D7" w:rsidRDefault="004108D7">
      <w:pPr>
        <w:rPr>
          <w:rFonts w:cstheme="minorHAnsi"/>
          <w:bCs/>
          <w:sz w:val="20"/>
          <w:szCs w:val="20"/>
        </w:rPr>
      </w:pPr>
    </w:p>
    <w:p w14:paraId="7B8FD60D" w14:textId="1E1AE9BA" w:rsidR="004108D7" w:rsidRDefault="004108D7">
      <w:pPr>
        <w:rPr>
          <w:rFonts w:cstheme="minorHAnsi"/>
          <w:bCs/>
          <w:sz w:val="20"/>
          <w:szCs w:val="20"/>
        </w:rPr>
      </w:pPr>
    </w:p>
    <w:p w14:paraId="07C723F2" w14:textId="5437E2E2" w:rsidR="00471B37" w:rsidRPr="004108D7" w:rsidRDefault="00471B37">
      <w:pPr>
        <w:rPr>
          <w:rFonts w:cstheme="minorHAnsi"/>
          <w:bCs/>
          <w:sz w:val="20"/>
          <w:szCs w:val="20"/>
        </w:rPr>
      </w:pPr>
    </w:p>
    <w:sectPr w:rsidR="00471B37" w:rsidRPr="004108D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CF9"/>
    <w:multiLevelType w:val="hybridMultilevel"/>
    <w:tmpl w:val="D59C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63B"/>
    <w:multiLevelType w:val="hybridMultilevel"/>
    <w:tmpl w:val="3D28A976"/>
    <w:lvl w:ilvl="0" w:tplc="591E5DDC">
      <w:start w:val="1"/>
      <w:numFmt w:val="bullet"/>
      <w:lvlText w:val="–"/>
      <w:lvlJc w:val="left"/>
      <w:pPr>
        <w:tabs>
          <w:tab w:val="num" w:pos="240"/>
        </w:tabs>
        <w:ind w:left="240" w:firstLine="240"/>
      </w:pPr>
      <w:rPr>
        <w:rFonts w:ascii="Verdana" w:hAnsi="Verdana" w:hint="default"/>
      </w:rPr>
    </w:lvl>
    <w:lvl w:ilvl="1" w:tplc="BB9CCC6A">
      <w:start w:val="1"/>
      <w:numFmt w:val="bullet"/>
      <w:pStyle w:val="tablebulletsthirdlevel"/>
      <w:lvlText w:val="–"/>
      <w:lvlJc w:val="left"/>
      <w:pPr>
        <w:tabs>
          <w:tab w:val="num" w:pos="720"/>
        </w:tabs>
        <w:ind w:left="720" w:hanging="24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4A52E29"/>
    <w:multiLevelType w:val="hybridMultilevel"/>
    <w:tmpl w:val="3EC217D8"/>
    <w:lvl w:ilvl="0" w:tplc="08090001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590B"/>
    <w:multiLevelType w:val="hybridMultilevel"/>
    <w:tmpl w:val="AC62D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7221B"/>
    <w:multiLevelType w:val="hybridMultilevel"/>
    <w:tmpl w:val="3304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7A1"/>
    <w:multiLevelType w:val="hybridMultilevel"/>
    <w:tmpl w:val="DA5EFDCC"/>
    <w:lvl w:ilvl="0" w:tplc="262854BC">
      <w:start w:val="1"/>
      <w:numFmt w:val="bullet"/>
      <w:pStyle w:val="Tablesub-bullets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7FC6BB3"/>
    <w:multiLevelType w:val="hybridMultilevel"/>
    <w:tmpl w:val="647C809E"/>
    <w:lvl w:ilvl="0" w:tplc="2DA8DAD4">
      <w:start w:val="1"/>
      <w:numFmt w:val="bullet"/>
      <w:pStyle w:val="Tex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5BF2C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E621C"/>
    <w:multiLevelType w:val="hybridMultilevel"/>
    <w:tmpl w:val="8654DF64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64C"/>
    <w:multiLevelType w:val="hybridMultilevel"/>
    <w:tmpl w:val="B7A0E24E"/>
    <w:lvl w:ilvl="0" w:tplc="1C3C8F14">
      <w:start w:val="1"/>
      <w:numFmt w:val="bullet"/>
      <w:pStyle w:val="Tablesub-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11491"/>
    <w:rsid w:val="00033CD4"/>
    <w:rsid w:val="00060C50"/>
    <w:rsid w:val="000A4ADB"/>
    <w:rsid w:val="000B079A"/>
    <w:rsid w:val="000F0257"/>
    <w:rsid w:val="001035B1"/>
    <w:rsid w:val="0014067C"/>
    <w:rsid w:val="00197B3C"/>
    <w:rsid w:val="001C3968"/>
    <w:rsid w:val="001E2CA9"/>
    <w:rsid w:val="001E6A96"/>
    <w:rsid w:val="001E7AF2"/>
    <w:rsid w:val="00274AAC"/>
    <w:rsid w:val="002A28AD"/>
    <w:rsid w:val="002F259E"/>
    <w:rsid w:val="0033675A"/>
    <w:rsid w:val="003459B1"/>
    <w:rsid w:val="00345B33"/>
    <w:rsid w:val="003928C4"/>
    <w:rsid w:val="003B3F69"/>
    <w:rsid w:val="003C6DFD"/>
    <w:rsid w:val="004108D7"/>
    <w:rsid w:val="00433404"/>
    <w:rsid w:val="00470D54"/>
    <w:rsid w:val="00471B37"/>
    <w:rsid w:val="00474CD3"/>
    <w:rsid w:val="004C50D5"/>
    <w:rsid w:val="004D42C0"/>
    <w:rsid w:val="004D4AD1"/>
    <w:rsid w:val="004F0369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00C01"/>
    <w:rsid w:val="009531B2"/>
    <w:rsid w:val="00971232"/>
    <w:rsid w:val="009902FC"/>
    <w:rsid w:val="009B2E6E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BE09BF"/>
    <w:rsid w:val="00C010E9"/>
    <w:rsid w:val="00C46DA0"/>
    <w:rsid w:val="00C7069B"/>
    <w:rsid w:val="00C77ED4"/>
    <w:rsid w:val="00CE49C5"/>
    <w:rsid w:val="00CF284B"/>
    <w:rsid w:val="00D137E1"/>
    <w:rsid w:val="00D34FAF"/>
    <w:rsid w:val="00D535E3"/>
    <w:rsid w:val="00D65FEF"/>
    <w:rsid w:val="00DB12B6"/>
    <w:rsid w:val="00DF21BB"/>
    <w:rsid w:val="00E048FE"/>
    <w:rsid w:val="00E27C22"/>
    <w:rsid w:val="00E50992"/>
    <w:rsid w:val="00E54214"/>
    <w:rsid w:val="00E85B48"/>
    <w:rsid w:val="00E904C9"/>
    <w:rsid w:val="00E96AE5"/>
    <w:rsid w:val="00EA4A96"/>
    <w:rsid w:val="00F15695"/>
    <w:rsid w:val="00F27F8A"/>
    <w:rsid w:val="00FC413B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link w:val="TabletextChar"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link w:val="TabletextbulletsChar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opic">
    <w:name w:val="Topic"/>
    <w:basedOn w:val="Normal"/>
    <w:rsid w:val="00DB12B6"/>
    <w:pPr>
      <w:tabs>
        <w:tab w:val="left" w:pos="720"/>
      </w:tabs>
      <w:spacing w:before="100" w:after="100" w:line="260" w:lineRule="atLeast"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ext-bullet">
    <w:name w:val="Text-bullet"/>
    <w:basedOn w:val="Normal"/>
    <w:rsid w:val="00DB12B6"/>
    <w:pPr>
      <w:numPr>
        <w:numId w:val="4"/>
      </w:numPr>
      <w:spacing w:before="100" w:after="100" w:line="260" w:lineRule="atLeast"/>
      <w:ind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ext">
    <w:name w:val="text"/>
    <w:qFormat/>
    <w:rsid w:val="00DB12B6"/>
    <w:pPr>
      <w:spacing w:before="80" w:after="60" w:line="240" w:lineRule="atLeast"/>
      <w:ind w:left="567"/>
    </w:pPr>
    <w:rPr>
      <w:rFonts w:ascii="Verdana" w:eastAsia="Times New Roman" w:hAnsi="Verdana" w:cs="Arial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B12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bulletsthirdlevel">
    <w:name w:val="table bullets third level"/>
    <w:basedOn w:val="Normal"/>
    <w:rsid w:val="00433404"/>
    <w:pPr>
      <w:numPr>
        <w:ilvl w:val="1"/>
        <w:numId w:val="8"/>
      </w:numPr>
      <w:tabs>
        <w:tab w:val="left" w:pos="240"/>
      </w:tabs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Tablesub-head">
    <w:name w:val="Table sub-head"/>
    <w:basedOn w:val="Normal"/>
    <w:next w:val="Normal"/>
    <w:rsid w:val="00433404"/>
    <w:pPr>
      <w:spacing w:before="80" w:after="6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ablebullets">
    <w:name w:val="Table bullets"/>
    <w:basedOn w:val="Text-bullet"/>
    <w:qFormat/>
    <w:rsid w:val="00433404"/>
    <w:pPr>
      <w:numPr>
        <w:numId w:val="2"/>
      </w:numPr>
      <w:spacing w:before="60" w:after="60"/>
      <w:ind w:right="0"/>
    </w:pPr>
  </w:style>
  <w:style w:type="paragraph" w:customStyle="1" w:styleId="Text1">
    <w:name w:val="Text1"/>
    <w:basedOn w:val="Normal"/>
    <w:rsid w:val="00C77ED4"/>
    <w:pPr>
      <w:numPr>
        <w:numId w:val="9"/>
      </w:numPr>
      <w:spacing w:before="40" w:after="40" w:line="200" w:lineRule="atLeast"/>
      <w:ind w:left="340" w:hanging="340"/>
    </w:pPr>
    <w:rPr>
      <w:rFonts w:ascii="Trebuchet MS" w:eastAsia="Times New Roman" w:hAnsi="Trebuchet MS" w:cs="Times New Roman"/>
      <w:sz w:val="16"/>
      <w:szCs w:val="16"/>
    </w:rPr>
  </w:style>
  <w:style w:type="character" w:customStyle="1" w:styleId="TabletextChar">
    <w:name w:val="Table text Char"/>
    <w:link w:val="Tabletext"/>
    <w:locked/>
    <w:rsid w:val="00C77ED4"/>
    <w:rPr>
      <w:rFonts w:ascii="Verdana" w:eastAsia="Times New Roman" w:hAnsi="Verdana" w:cs="Arial"/>
      <w:sz w:val="16"/>
      <w:szCs w:val="24"/>
    </w:rPr>
  </w:style>
  <w:style w:type="paragraph" w:customStyle="1" w:styleId="Tablesub-bullets">
    <w:name w:val="Table sub-bullets"/>
    <w:basedOn w:val="Tablebullets"/>
    <w:rsid w:val="00C77ED4"/>
    <w:pPr>
      <w:numPr>
        <w:numId w:val="10"/>
      </w:numPr>
      <w:spacing w:before="80" w:after="80" w:line="240" w:lineRule="auto"/>
      <w:textAlignment w:val="baseline"/>
    </w:pPr>
    <w:rPr>
      <w:rFonts w:cs="Arial"/>
      <w:color w:val="000000"/>
      <w:szCs w:val="23"/>
      <w:lang w:eastAsia="en-GB"/>
    </w:rPr>
  </w:style>
  <w:style w:type="character" w:customStyle="1" w:styleId="TabletextbulletsChar">
    <w:name w:val="Table text bullets Char"/>
    <w:link w:val="Tabletextbullets"/>
    <w:locked/>
    <w:rsid w:val="009B2E6E"/>
    <w:rPr>
      <w:rFonts w:ascii="Verdana" w:eastAsia="Times New Roman" w:hAnsi="Verdana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A8EDF-4A98-41BF-9AC6-1328289B62B7}"/>
</file>

<file path=customXml/itemProps2.xml><?xml version="1.0" encoding="utf-8"?>
<ds:datastoreItem xmlns:ds="http://schemas.openxmlformats.org/officeDocument/2006/customXml" ds:itemID="{FFD825FF-2ED0-4064-8AE3-B1EE90CA2DB8}">
  <ds:schemaRefs>
    <ds:schemaRef ds:uri="3cde8ce8-497b-4d58-ad3b-77e996642cc8"/>
    <ds:schemaRef ds:uri="http://purl.org/dc/terms/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Bishell, April</cp:lastModifiedBy>
  <cp:revision>4</cp:revision>
  <cp:lastPrinted>2019-07-18T11:43:00Z</cp:lastPrinted>
  <dcterms:created xsi:type="dcterms:W3CDTF">2020-01-16T14:22:00Z</dcterms:created>
  <dcterms:modified xsi:type="dcterms:W3CDTF">2020-01-16T14:24:00Z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